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70"/>
        <w:gridCol w:w="3071"/>
        <w:gridCol w:w="3071"/>
      </w:tblGrid>
      <w:tr w:rsidR="00E03EF5" w:rsidRPr="00183459">
        <w:tc>
          <w:tcPr>
            <w:tcW w:w="3070"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c>
          <w:tcPr>
            <w:tcW w:w="3071" w:type="dxa"/>
            <w:shd w:val="clear" w:color="auto" w:fill="auto"/>
          </w:tcPr>
          <w:p w:rsidR="00E03EF5" w:rsidRPr="00183459" w:rsidRDefault="005D0085" w:rsidP="00183459">
            <w:pPr>
              <w:pStyle w:val="Heading1"/>
              <w:spacing w:line="240" w:lineRule="auto"/>
              <w:jc w:val="center"/>
              <w:rPr>
                <w:sz w:val="36"/>
                <w:szCs w:val="36"/>
              </w:rPr>
            </w:pPr>
            <w:r>
              <w:rPr>
                <w:sz w:val="36"/>
                <w:szCs w:val="36"/>
              </w:rPr>
              <w:t xml:space="preserve">Stokkersbokaal </w:t>
            </w:r>
            <w:r w:rsidR="00630BF0">
              <w:rPr>
                <w:sz w:val="36"/>
                <w:szCs w:val="36"/>
              </w:rPr>
              <w:br/>
              <w:t xml:space="preserve">driebanden klein </w:t>
            </w:r>
            <w:r>
              <w:rPr>
                <w:sz w:val="36"/>
                <w:szCs w:val="36"/>
              </w:rPr>
              <w:t>editie 20</w:t>
            </w:r>
            <w:r w:rsidR="0054702C">
              <w:rPr>
                <w:sz w:val="36"/>
                <w:szCs w:val="36"/>
              </w:rPr>
              <w:t>20</w:t>
            </w:r>
            <w:r w:rsidR="00E03EF5" w:rsidRPr="00183459">
              <w:rPr>
                <w:sz w:val="36"/>
                <w:szCs w:val="36"/>
              </w:rPr>
              <w:t>.</w:t>
            </w:r>
          </w:p>
          <w:p w:rsidR="00E03EF5" w:rsidRPr="00183459" w:rsidRDefault="00E03EF5" w:rsidP="00183459">
            <w:pPr>
              <w:pStyle w:val="Heading1"/>
              <w:spacing w:line="240" w:lineRule="auto"/>
              <w:jc w:val="center"/>
              <w:rPr>
                <w:sz w:val="36"/>
                <w:szCs w:val="36"/>
              </w:rPr>
            </w:pPr>
          </w:p>
        </w:tc>
        <w:tc>
          <w:tcPr>
            <w:tcW w:w="3071"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r>
    </w:tbl>
    <w:p w:rsidR="000042D4" w:rsidRPr="000042D4" w:rsidRDefault="000042D4" w:rsidP="000042D4">
      <w:pPr>
        <w:pStyle w:val="Heading2"/>
        <w:rPr>
          <w:sz w:val="28"/>
          <w:szCs w:val="28"/>
        </w:rPr>
      </w:pPr>
      <w:r w:rsidRPr="000042D4">
        <w:rPr>
          <w:sz w:val="28"/>
          <w:szCs w:val="28"/>
        </w:rPr>
        <w:t>Inleiding</w:t>
      </w:r>
    </w:p>
    <w:p w:rsidR="0005391B" w:rsidRDefault="003F75FE">
      <w:r>
        <w:br/>
      </w:r>
      <w:r w:rsidR="000042D4">
        <w:t>Sinds het toern</w:t>
      </w:r>
      <w:r w:rsidR="00751894">
        <w:t>ooi om de Stokkersbokaal in 1999</w:t>
      </w:r>
      <w:r w:rsidR="000042D4">
        <w:t xml:space="preserve"> weer nieuw is in geblazen, heeft het traditioneel altijd op de grote matchtafel plaatsgevonden, om met de tijd mee te gaan en aan mensen die het spel op de grote tafel te moeilijk vinden, ook een kans te geven is </w:t>
      </w:r>
      <w:r w:rsidR="00EE6897">
        <w:t>er sinds 2015</w:t>
      </w:r>
      <w:r w:rsidR="00BE47D4">
        <w:t xml:space="preserve"> </w:t>
      </w:r>
      <w:r w:rsidR="000042D4">
        <w:t>ook de Stokkersbokaal op de kleine tafel georganiseerd.</w:t>
      </w:r>
      <w:r>
        <w:br/>
        <w:t xml:space="preserve">Dit jaar hadden zich de volgende spelers zich gekwalificeerd, </w:t>
      </w:r>
      <w:r w:rsidR="0054702C">
        <w:t>Bertus van der Molen v</w:t>
      </w:r>
      <w:r w:rsidR="00D63C56">
        <w:t xml:space="preserve">ereniging </w:t>
      </w:r>
      <w:r w:rsidR="0054702C">
        <w:t>BC Stokkers</w:t>
      </w:r>
      <w:r w:rsidR="00026DDF">
        <w:t xml:space="preserve"> te maken </w:t>
      </w:r>
      <w:r w:rsidR="0054702C">
        <w:t>27</w:t>
      </w:r>
      <w:r w:rsidR="00AD6212">
        <w:t xml:space="preserve">, </w:t>
      </w:r>
      <w:r w:rsidR="0054702C">
        <w:t>Gertjan de Vries</w:t>
      </w:r>
      <w:r w:rsidR="00AD6212">
        <w:t>,</w:t>
      </w:r>
      <w:r w:rsidR="00D63C56">
        <w:t xml:space="preserve"> vereniging B</w:t>
      </w:r>
      <w:r w:rsidR="0054702C">
        <w:t>V ‘74</w:t>
      </w:r>
      <w:r w:rsidR="00026DDF">
        <w:t xml:space="preserve"> te maken </w:t>
      </w:r>
      <w:r w:rsidR="0054702C">
        <w:t>31</w:t>
      </w:r>
      <w:r w:rsidR="00D63C56">
        <w:t>,</w:t>
      </w:r>
      <w:r w:rsidR="00AD6212">
        <w:t xml:space="preserve"> </w:t>
      </w:r>
      <w:r w:rsidR="0054702C">
        <w:t>Gertjan Valkman</w:t>
      </w:r>
      <w:r w:rsidR="00D63C56">
        <w:t xml:space="preserve">, vereniging </w:t>
      </w:r>
      <w:r w:rsidR="0054702C">
        <w:t>KMO ‘74</w:t>
      </w:r>
      <w:r w:rsidR="00026DDF">
        <w:t xml:space="preserve"> te maken 2</w:t>
      </w:r>
      <w:r w:rsidR="0054702C">
        <w:t>3</w:t>
      </w:r>
      <w:r w:rsidR="00AD6212">
        <w:t xml:space="preserve"> en </w:t>
      </w:r>
      <w:r w:rsidR="0054702C">
        <w:t>Jan Formanoy</w:t>
      </w:r>
      <w:r w:rsidR="00D63C56">
        <w:t xml:space="preserve">, vereniging </w:t>
      </w:r>
      <w:r w:rsidR="007676B5">
        <w:t>Twentse Seniore</w:t>
      </w:r>
      <w:r w:rsidR="00B51BFF">
        <w:t>n</w:t>
      </w:r>
      <w:r w:rsidR="00026DDF">
        <w:t xml:space="preserve"> te maken </w:t>
      </w:r>
      <w:r w:rsidR="0054702C">
        <w:t>15</w:t>
      </w:r>
      <w:r w:rsidR="00026DDF">
        <w:t xml:space="preserve"> caramboles</w:t>
      </w:r>
      <w:r w:rsidR="007676B5">
        <w:t>, dit keer bleken alle spelers afkomstig te zijn uit Enschede.</w:t>
      </w:r>
    </w:p>
    <w:p w:rsidR="006C7488" w:rsidRPr="006C7488" w:rsidRDefault="006C7488">
      <w:pPr>
        <w:rPr>
          <w:b/>
          <w:sz w:val="28"/>
          <w:szCs w:val="28"/>
        </w:rPr>
      </w:pPr>
      <w:r w:rsidRPr="006C7488">
        <w:rPr>
          <w:b/>
          <w:sz w:val="28"/>
          <w:szCs w:val="28"/>
        </w:rPr>
        <w:t xml:space="preserve">En de winnaar van de Stokkersbokaal </w:t>
      </w:r>
      <w:r w:rsidR="00EE6897">
        <w:rPr>
          <w:b/>
          <w:sz w:val="28"/>
          <w:szCs w:val="28"/>
        </w:rPr>
        <w:t>20</w:t>
      </w:r>
      <w:r w:rsidR="0054702C">
        <w:rPr>
          <w:b/>
          <w:sz w:val="28"/>
          <w:szCs w:val="28"/>
        </w:rPr>
        <w:t>20</w:t>
      </w:r>
      <w:bookmarkStart w:id="0" w:name="_GoBack"/>
      <w:bookmarkEnd w:id="0"/>
      <w:r w:rsidR="00EE6897">
        <w:rPr>
          <w:b/>
          <w:sz w:val="28"/>
          <w:szCs w:val="28"/>
        </w:rPr>
        <w:t xml:space="preserve"> </w:t>
      </w:r>
      <w:r w:rsidRPr="006C7488">
        <w:rPr>
          <w:b/>
          <w:sz w:val="28"/>
          <w:szCs w:val="28"/>
        </w:rPr>
        <w:t>driebanden klein is:</w:t>
      </w:r>
    </w:p>
    <w:p w:rsidR="006C7488" w:rsidRPr="00667046" w:rsidRDefault="00125CF2">
      <w:pPr>
        <w:rPr>
          <w:b/>
          <w:sz w:val="48"/>
          <w:szCs w:val="48"/>
        </w:rPr>
      </w:pPr>
      <w:r>
        <w:rPr>
          <w:b/>
          <w:sz w:val="48"/>
          <w:szCs w:val="48"/>
        </w:rPr>
        <w:t xml:space="preserve">Bertus van der Molen </w:t>
      </w:r>
      <w:r w:rsidR="00667046" w:rsidRPr="00667046">
        <w:rPr>
          <w:b/>
          <w:sz w:val="48"/>
          <w:szCs w:val="48"/>
        </w:rPr>
        <w:t xml:space="preserve">uit </w:t>
      </w:r>
      <w:r w:rsidR="0060204D">
        <w:rPr>
          <w:b/>
          <w:sz w:val="48"/>
          <w:szCs w:val="48"/>
        </w:rPr>
        <w:t>Enschede</w:t>
      </w:r>
      <w:r w:rsidR="00667046" w:rsidRPr="00667046">
        <w:rPr>
          <w:b/>
          <w:sz w:val="48"/>
          <w:szCs w:val="48"/>
        </w:rPr>
        <w:t>.</w:t>
      </w:r>
    </w:p>
    <w:p w:rsidR="006C7488" w:rsidRDefault="006C7488" w:rsidP="006C7488">
      <w:pPr>
        <w:pStyle w:val="Heading1"/>
        <w:rPr>
          <w:sz w:val="32"/>
          <w:szCs w:val="32"/>
        </w:rPr>
      </w:pPr>
      <w:r w:rsidRPr="006C7488">
        <w:rPr>
          <w:sz w:val="32"/>
          <w:szCs w:val="32"/>
        </w:rPr>
        <w:t>Eindstand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35"/>
        <w:gridCol w:w="720"/>
        <w:gridCol w:w="656"/>
        <w:gridCol w:w="1149"/>
        <w:gridCol w:w="1156"/>
        <w:gridCol w:w="1153"/>
        <w:gridCol w:w="1284"/>
      </w:tblGrid>
      <w:tr w:rsidR="00667046" w:rsidRPr="00183459">
        <w:tc>
          <w:tcPr>
            <w:tcW w:w="533" w:type="dxa"/>
            <w:shd w:val="clear" w:color="auto" w:fill="auto"/>
          </w:tcPr>
          <w:p w:rsidR="00BE47D4" w:rsidRPr="00183459" w:rsidRDefault="00BE47D4" w:rsidP="00183459">
            <w:pPr>
              <w:spacing w:after="0" w:line="240" w:lineRule="auto"/>
              <w:rPr>
                <w:b/>
              </w:rPr>
            </w:pPr>
            <w:r w:rsidRPr="00183459">
              <w:rPr>
                <w:b/>
              </w:rPr>
              <w:t>Nr.</w:t>
            </w:r>
          </w:p>
        </w:tc>
        <w:tc>
          <w:tcPr>
            <w:tcW w:w="2635" w:type="dxa"/>
            <w:shd w:val="clear" w:color="auto" w:fill="auto"/>
          </w:tcPr>
          <w:p w:rsidR="00BE47D4" w:rsidRPr="00183459" w:rsidRDefault="00BE47D4" w:rsidP="00667046">
            <w:pPr>
              <w:spacing w:after="0" w:line="240" w:lineRule="auto"/>
              <w:rPr>
                <w:b/>
                <w:sz w:val="20"/>
                <w:szCs w:val="20"/>
              </w:rPr>
            </w:pPr>
            <w:r w:rsidRPr="00183459">
              <w:rPr>
                <w:b/>
                <w:sz w:val="20"/>
                <w:szCs w:val="20"/>
              </w:rPr>
              <w:t>Naam speler</w:t>
            </w:r>
          </w:p>
        </w:tc>
        <w:tc>
          <w:tcPr>
            <w:tcW w:w="720" w:type="dxa"/>
            <w:shd w:val="clear" w:color="auto" w:fill="auto"/>
          </w:tcPr>
          <w:p w:rsidR="00BE47D4" w:rsidRPr="00183459" w:rsidRDefault="00667046" w:rsidP="00183459">
            <w:pPr>
              <w:spacing w:after="0" w:line="240" w:lineRule="auto"/>
              <w:jc w:val="center"/>
              <w:rPr>
                <w:b/>
                <w:sz w:val="20"/>
                <w:szCs w:val="20"/>
              </w:rPr>
            </w:pPr>
            <w:r>
              <w:rPr>
                <w:b/>
                <w:sz w:val="20"/>
                <w:szCs w:val="20"/>
              </w:rPr>
              <w:t>TM</w:t>
            </w:r>
          </w:p>
        </w:tc>
        <w:tc>
          <w:tcPr>
            <w:tcW w:w="656" w:type="dxa"/>
            <w:shd w:val="clear" w:color="auto" w:fill="auto"/>
          </w:tcPr>
          <w:p w:rsidR="00BE47D4" w:rsidRPr="00183459" w:rsidRDefault="00667046" w:rsidP="00183459">
            <w:pPr>
              <w:spacing w:after="0" w:line="240" w:lineRule="auto"/>
              <w:jc w:val="center"/>
              <w:rPr>
                <w:b/>
                <w:sz w:val="20"/>
                <w:szCs w:val="20"/>
              </w:rPr>
            </w:pPr>
            <w:r>
              <w:rPr>
                <w:b/>
                <w:sz w:val="20"/>
                <w:szCs w:val="20"/>
              </w:rPr>
              <w:t>GM</w:t>
            </w:r>
          </w:p>
        </w:tc>
        <w:tc>
          <w:tcPr>
            <w:tcW w:w="1149"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Aantal beurten</w:t>
            </w:r>
          </w:p>
        </w:tc>
        <w:tc>
          <w:tcPr>
            <w:tcW w:w="1156"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Moyenne</w:t>
            </w:r>
          </w:p>
        </w:tc>
        <w:tc>
          <w:tcPr>
            <w:tcW w:w="1153"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Hoogste serie</w:t>
            </w:r>
          </w:p>
        </w:tc>
        <w:tc>
          <w:tcPr>
            <w:tcW w:w="1284"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Scorings</w:t>
            </w:r>
            <w:r w:rsidRPr="00183459">
              <w:rPr>
                <w:b/>
                <w:sz w:val="20"/>
                <w:szCs w:val="20"/>
              </w:rPr>
              <w:br/>
              <w:t>percentage</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1.</w:t>
            </w:r>
          </w:p>
        </w:tc>
        <w:tc>
          <w:tcPr>
            <w:tcW w:w="2635" w:type="dxa"/>
            <w:shd w:val="clear" w:color="auto" w:fill="auto"/>
          </w:tcPr>
          <w:p w:rsidR="00BE47D4" w:rsidRPr="00667046" w:rsidRDefault="00125CF2" w:rsidP="00183459">
            <w:pPr>
              <w:spacing w:after="0" w:line="240" w:lineRule="auto"/>
              <w:rPr>
                <w:b/>
                <w:sz w:val="20"/>
                <w:szCs w:val="20"/>
              </w:rPr>
            </w:pPr>
            <w:r>
              <w:rPr>
                <w:b/>
                <w:sz w:val="20"/>
                <w:szCs w:val="20"/>
              </w:rPr>
              <w:t>Bertus van der Molen</w:t>
            </w:r>
          </w:p>
        </w:tc>
        <w:tc>
          <w:tcPr>
            <w:tcW w:w="720" w:type="dxa"/>
            <w:shd w:val="clear" w:color="auto" w:fill="auto"/>
          </w:tcPr>
          <w:p w:rsidR="00BE47D4" w:rsidRPr="00667046" w:rsidRDefault="00125CF2" w:rsidP="00667046">
            <w:pPr>
              <w:spacing w:after="0" w:line="240" w:lineRule="auto"/>
              <w:jc w:val="center"/>
              <w:rPr>
                <w:b/>
                <w:sz w:val="20"/>
                <w:szCs w:val="20"/>
              </w:rPr>
            </w:pPr>
            <w:r>
              <w:rPr>
                <w:b/>
                <w:sz w:val="20"/>
                <w:szCs w:val="20"/>
              </w:rPr>
              <w:t>81</w:t>
            </w:r>
          </w:p>
        </w:tc>
        <w:tc>
          <w:tcPr>
            <w:tcW w:w="656" w:type="dxa"/>
            <w:shd w:val="clear" w:color="auto" w:fill="auto"/>
          </w:tcPr>
          <w:p w:rsidR="00BE47D4" w:rsidRPr="00667046" w:rsidRDefault="00125CF2" w:rsidP="00667046">
            <w:pPr>
              <w:spacing w:after="0" w:line="240" w:lineRule="auto"/>
              <w:jc w:val="center"/>
              <w:rPr>
                <w:b/>
                <w:sz w:val="20"/>
                <w:szCs w:val="20"/>
              </w:rPr>
            </w:pPr>
            <w:r>
              <w:rPr>
                <w:b/>
                <w:sz w:val="20"/>
                <w:szCs w:val="20"/>
              </w:rPr>
              <w:t>81</w:t>
            </w:r>
          </w:p>
        </w:tc>
        <w:tc>
          <w:tcPr>
            <w:tcW w:w="1149" w:type="dxa"/>
            <w:shd w:val="clear" w:color="auto" w:fill="auto"/>
          </w:tcPr>
          <w:p w:rsidR="00BE47D4" w:rsidRPr="00667046" w:rsidRDefault="00125CF2" w:rsidP="00667046">
            <w:pPr>
              <w:spacing w:after="0" w:line="240" w:lineRule="auto"/>
              <w:jc w:val="center"/>
              <w:rPr>
                <w:b/>
                <w:sz w:val="20"/>
                <w:szCs w:val="20"/>
              </w:rPr>
            </w:pPr>
            <w:r>
              <w:rPr>
                <w:b/>
                <w:sz w:val="20"/>
                <w:szCs w:val="20"/>
              </w:rPr>
              <w:t>126</w:t>
            </w:r>
          </w:p>
        </w:tc>
        <w:tc>
          <w:tcPr>
            <w:tcW w:w="1156" w:type="dxa"/>
            <w:shd w:val="clear" w:color="auto" w:fill="auto"/>
          </w:tcPr>
          <w:p w:rsidR="00BE47D4" w:rsidRPr="00667046" w:rsidRDefault="00125CF2" w:rsidP="00667046">
            <w:pPr>
              <w:spacing w:after="0" w:line="240" w:lineRule="auto"/>
              <w:jc w:val="center"/>
              <w:rPr>
                <w:b/>
                <w:sz w:val="20"/>
                <w:szCs w:val="20"/>
              </w:rPr>
            </w:pPr>
            <w:r>
              <w:rPr>
                <w:b/>
                <w:sz w:val="20"/>
                <w:szCs w:val="20"/>
              </w:rPr>
              <w:t>0.643</w:t>
            </w:r>
          </w:p>
        </w:tc>
        <w:tc>
          <w:tcPr>
            <w:tcW w:w="1153" w:type="dxa"/>
            <w:shd w:val="clear" w:color="auto" w:fill="auto"/>
          </w:tcPr>
          <w:p w:rsidR="00BE47D4" w:rsidRPr="00667046" w:rsidRDefault="00125CF2" w:rsidP="00667046">
            <w:pPr>
              <w:spacing w:after="0" w:line="240" w:lineRule="auto"/>
              <w:jc w:val="center"/>
              <w:rPr>
                <w:b/>
                <w:sz w:val="20"/>
                <w:szCs w:val="20"/>
              </w:rPr>
            </w:pPr>
            <w:r>
              <w:rPr>
                <w:b/>
                <w:sz w:val="20"/>
                <w:szCs w:val="20"/>
              </w:rPr>
              <w:t>4</w:t>
            </w:r>
          </w:p>
        </w:tc>
        <w:tc>
          <w:tcPr>
            <w:tcW w:w="1284" w:type="dxa"/>
            <w:shd w:val="clear" w:color="auto" w:fill="auto"/>
          </w:tcPr>
          <w:p w:rsidR="00BE47D4" w:rsidRPr="00667046" w:rsidRDefault="00125CF2" w:rsidP="00667046">
            <w:pPr>
              <w:spacing w:after="0" w:line="240" w:lineRule="auto"/>
              <w:jc w:val="center"/>
              <w:rPr>
                <w:b/>
                <w:sz w:val="20"/>
                <w:szCs w:val="20"/>
              </w:rPr>
            </w:pPr>
            <w:r>
              <w:rPr>
                <w:b/>
                <w:sz w:val="20"/>
                <w:szCs w:val="20"/>
              </w:rPr>
              <w:t>100%</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2.</w:t>
            </w:r>
          </w:p>
        </w:tc>
        <w:tc>
          <w:tcPr>
            <w:tcW w:w="2635" w:type="dxa"/>
            <w:shd w:val="clear" w:color="auto" w:fill="auto"/>
          </w:tcPr>
          <w:p w:rsidR="00BE47D4" w:rsidRPr="00667046" w:rsidRDefault="00125CF2" w:rsidP="00183459">
            <w:pPr>
              <w:spacing w:after="0" w:line="240" w:lineRule="auto"/>
              <w:rPr>
                <w:b/>
                <w:sz w:val="20"/>
                <w:szCs w:val="20"/>
              </w:rPr>
            </w:pPr>
            <w:r>
              <w:rPr>
                <w:b/>
                <w:sz w:val="20"/>
                <w:szCs w:val="20"/>
              </w:rPr>
              <w:t>Gertjan de Vries</w:t>
            </w:r>
          </w:p>
        </w:tc>
        <w:tc>
          <w:tcPr>
            <w:tcW w:w="720" w:type="dxa"/>
            <w:shd w:val="clear" w:color="auto" w:fill="auto"/>
          </w:tcPr>
          <w:p w:rsidR="00BE47D4" w:rsidRPr="00667046" w:rsidRDefault="00125CF2" w:rsidP="00667046">
            <w:pPr>
              <w:spacing w:after="0" w:line="240" w:lineRule="auto"/>
              <w:jc w:val="center"/>
              <w:rPr>
                <w:b/>
                <w:sz w:val="20"/>
                <w:szCs w:val="20"/>
              </w:rPr>
            </w:pPr>
            <w:r>
              <w:rPr>
                <w:b/>
                <w:sz w:val="20"/>
                <w:szCs w:val="20"/>
              </w:rPr>
              <w:t>93</w:t>
            </w:r>
          </w:p>
        </w:tc>
        <w:tc>
          <w:tcPr>
            <w:tcW w:w="656" w:type="dxa"/>
            <w:shd w:val="clear" w:color="auto" w:fill="auto"/>
          </w:tcPr>
          <w:p w:rsidR="00BE47D4" w:rsidRPr="00667046" w:rsidRDefault="00125CF2" w:rsidP="00667046">
            <w:pPr>
              <w:spacing w:after="0" w:line="240" w:lineRule="auto"/>
              <w:jc w:val="center"/>
              <w:rPr>
                <w:b/>
                <w:sz w:val="20"/>
                <w:szCs w:val="20"/>
              </w:rPr>
            </w:pPr>
            <w:r>
              <w:rPr>
                <w:b/>
                <w:sz w:val="20"/>
                <w:szCs w:val="20"/>
              </w:rPr>
              <w:t>90</w:t>
            </w:r>
          </w:p>
        </w:tc>
        <w:tc>
          <w:tcPr>
            <w:tcW w:w="1149" w:type="dxa"/>
            <w:shd w:val="clear" w:color="auto" w:fill="auto"/>
          </w:tcPr>
          <w:p w:rsidR="00BE47D4" w:rsidRPr="00667046" w:rsidRDefault="00125CF2" w:rsidP="00667046">
            <w:pPr>
              <w:spacing w:after="0" w:line="240" w:lineRule="auto"/>
              <w:jc w:val="center"/>
              <w:rPr>
                <w:b/>
                <w:sz w:val="20"/>
                <w:szCs w:val="20"/>
              </w:rPr>
            </w:pPr>
            <w:r>
              <w:rPr>
                <w:b/>
                <w:sz w:val="20"/>
                <w:szCs w:val="20"/>
              </w:rPr>
              <w:t>144</w:t>
            </w:r>
          </w:p>
        </w:tc>
        <w:tc>
          <w:tcPr>
            <w:tcW w:w="1156" w:type="dxa"/>
            <w:shd w:val="clear" w:color="auto" w:fill="auto"/>
          </w:tcPr>
          <w:p w:rsidR="00BE47D4" w:rsidRPr="00667046" w:rsidRDefault="00125CF2" w:rsidP="00667046">
            <w:pPr>
              <w:spacing w:after="0" w:line="240" w:lineRule="auto"/>
              <w:jc w:val="center"/>
              <w:rPr>
                <w:b/>
                <w:sz w:val="20"/>
                <w:szCs w:val="20"/>
              </w:rPr>
            </w:pPr>
            <w:r>
              <w:rPr>
                <w:b/>
                <w:sz w:val="20"/>
                <w:szCs w:val="20"/>
              </w:rPr>
              <w:t>0.625</w:t>
            </w:r>
          </w:p>
        </w:tc>
        <w:tc>
          <w:tcPr>
            <w:tcW w:w="1153" w:type="dxa"/>
            <w:shd w:val="clear" w:color="auto" w:fill="auto"/>
          </w:tcPr>
          <w:p w:rsidR="00BE47D4" w:rsidRPr="00667046" w:rsidRDefault="00125CF2" w:rsidP="00667046">
            <w:pPr>
              <w:spacing w:after="0" w:line="240" w:lineRule="auto"/>
              <w:jc w:val="center"/>
              <w:rPr>
                <w:b/>
                <w:sz w:val="20"/>
                <w:szCs w:val="20"/>
              </w:rPr>
            </w:pPr>
            <w:r>
              <w:rPr>
                <w:b/>
                <w:sz w:val="20"/>
                <w:szCs w:val="20"/>
              </w:rPr>
              <w:t>6</w:t>
            </w:r>
          </w:p>
        </w:tc>
        <w:tc>
          <w:tcPr>
            <w:tcW w:w="1284" w:type="dxa"/>
            <w:shd w:val="clear" w:color="auto" w:fill="auto"/>
          </w:tcPr>
          <w:p w:rsidR="00BE47D4" w:rsidRPr="00667046" w:rsidRDefault="00125CF2" w:rsidP="00667046">
            <w:pPr>
              <w:spacing w:after="0" w:line="240" w:lineRule="auto"/>
              <w:jc w:val="center"/>
              <w:rPr>
                <w:b/>
                <w:sz w:val="20"/>
                <w:szCs w:val="20"/>
              </w:rPr>
            </w:pPr>
            <w:r>
              <w:rPr>
                <w:b/>
                <w:sz w:val="20"/>
                <w:szCs w:val="20"/>
              </w:rPr>
              <w:t>96.77%</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3.</w:t>
            </w:r>
          </w:p>
        </w:tc>
        <w:tc>
          <w:tcPr>
            <w:tcW w:w="2635" w:type="dxa"/>
            <w:shd w:val="clear" w:color="auto" w:fill="auto"/>
          </w:tcPr>
          <w:p w:rsidR="00BE47D4" w:rsidRPr="00667046" w:rsidRDefault="001E7088" w:rsidP="00183459">
            <w:pPr>
              <w:spacing w:after="0" w:line="240" w:lineRule="auto"/>
              <w:rPr>
                <w:b/>
                <w:sz w:val="20"/>
                <w:szCs w:val="20"/>
              </w:rPr>
            </w:pPr>
            <w:r>
              <w:rPr>
                <w:b/>
                <w:sz w:val="20"/>
                <w:szCs w:val="20"/>
              </w:rPr>
              <w:t>Jan Formanoy</w:t>
            </w:r>
          </w:p>
        </w:tc>
        <w:tc>
          <w:tcPr>
            <w:tcW w:w="720" w:type="dxa"/>
            <w:shd w:val="clear" w:color="auto" w:fill="auto"/>
          </w:tcPr>
          <w:p w:rsidR="00BE47D4" w:rsidRPr="00667046" w:rsidRDefault="001E7088" w:rsidP="00667046">
            <w:pPr>
              <w:spacing w:after="0" w:line="240" w:lineRule="auto"/>
              <w:jc w:val="center"/>
              <w:rPr>
                <w:b/>
                <w:sz w:val="20"/>
                <w:szCs w:val="20"/>
              </w:rPr>
            </w:pPr>
            <w:r>
              <w:rPr>
                <w:b/>
                <w:sz w:val="20"/>
                <w:szCs w:val="20"/>
              </w:rPr>
              <w:t>45</w:t>
            </w:r>
          </w:p>
        </w:tc>
        <w:tc>
          <w:tcPr>
            <w:tcW w:w="656" w:type="dxa"/>
            <w:shd w:val="clear" w:color="auto" w:fill="auto"/>
          </w:tcPr>
          <w:p w:rsidR="00BE47D4" w:rsidRPr="00667046" w:rsidRDefault="001E7088" w:rsidP="00667046">
            <w:pPr>
              <w:spacing w:after="0" w:line="240" w:lineRule="auto"/>
              <w:jc w:val="center"/>
              <w:rPr>
                <w:b/>
                <w:sz w:val="20"/>
                <w:szCs w:val="20"/>
              </w:rPr>
            </w:pPr>
            <w:r>
              <w:rPr>
                <w:b/>
                <w:sz w:val="20"/>
                <w:szCs w:val="20"/>
              </w:rPr>
              <w:t>31</w:t>
            </w:r>
          </w:p>
        </w:tc>
        <w:tc>
          <w:tcPr>
            <w:tcW w:w="1149" w:type="dxa"/>
            <w:shd w:val="clear" w:color="auto" w:fill="auto"/>
          </w:tcPr>
          <w:p w:rsidR="00BE47D4" w:rsidRPr="00667046" w:rsidRDefault="00125CF2" w:rsidP="00667046">
            <w:pPr>
              <w:spacing w:after="0" w:line="240" w:lineRule="auto"/>
              <w:jc w:val="center"/>
              <w:rPr>
                <w:b/>
                <w:sz w:val="20"/>
                <w:szCs w:val="20"/>
              </w:rPr>
            </w:pPr>
            <w:r>
              <w:rPr>
                <w:b/>
                <w:sz w:val="20"/>
                <w:szCs w:val="20"/>
              </w:rPr>
              <w:t>137</w:t>
            </w:r>
          </w:p>
        </w:tc>
        <w:tc>
          <w:tcPr>
            <w:tcW w:w="1156" w:type="dxa"/>
            <w:shd w:val="clear" w:color="auto" w:fill="auto"/>
          </w:tcPr>
          <w:p w:rsidR="00BE47D4" w:rsidRPr="00667046" w:rsidRDefault="00125CF2" w:rsidP="00667046">
            <w:pPr>
              <w:spacing w:after="0" w:line="240" w:lineRule="auto"/>
              <w:jc w:val="center"/>
              <w:rPr>
                <w:b/>
                <w:sz w:val="20"/>
                <w:szCs w:val="20"/>
              </w:rPr>
            </w:pPr>
            <w:r>
              <w:rPr>
                <w:b/>
                <w:sz w:val="20"/>
                <w:szCs w:val="20"/>
              </w:rPr>
              <w:t>0.226</w:t>
            </w:r>
          </w:p>
        </w:tc>
        <w:tc>
          <w:tcPr>
            <w:tcW w:w="1153" w:type="dxa"/>
            <w:shd w:val="clear" w:color="auto" w:fill="auto"/>
          </w:tcPr>
          <w:p w:rsidR="00BE47D4" w:rsidRPr="00667046" w:rsidRDefault="00125CF2" w:rsidP="00667046">
            <w:pPr>
              <w:spacing w:after="0" w:line="240" w:lineRule="auto"/>
              <w:jc w:val="center"/>
              <w:rPr>
                <w:b/>
                <w:sz w:val="20"/>
                <w:szCs w:val="20"/>
              </w:rPr>
            </w:pPr>
            <w:r>
              <w:rPr>
                <w:b/>
                <w:sz w:val="20"/>
                <w:szCs w:val="20"/>
              </w:rPr>
              <w:t>3</w:t>
            </w:r>
          </w:p>
        </w:tc>
        <w:tc>
          <w:tcPr>
            <w:tcW w:w="1284" w:type="dxa"/>
            <w:shd w:val="clear" w:color="auto" w:fill="auto"/>
          </w:tcPr>
          <w:p w:rsidR="00BE47D4" w:rsidRPr="00667046" w:rsidRDefault="00125CF2" w:rsidP="00667046">
            <w:pPr>
              <w:spacing w:after="0" w:line="240" w:lineRule="auto"/>
              <w:jc w:val="center"/>
              <w:rPr>
                <w:b/>
                <w:sz w:val="20"/>
                <w:szCs w:val="20"/>
              </w:rPr>
            </w:pPr>
            <w:r>
              <w:rPr>
                <w:b/>
                <w:sz w:val="20"/>
                <w:szCs w:val="20"/>
              </w:rPr>
              <w:t>68.89%</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4.</w:t>
            </w:r>
          </w:p>
        </w:tc>
        <w:tc>
          <w:tcPr>
            <w:tcW w:w="2635" w:type="dxa"/>
            <w:shd w:val="clear" w:color="auto" w:fill="auto"/>
          </w:tcPr>
          <w:p w:rsidR="00BE47D4" w:rsidRPr="00667046" w:rsidRDefault="001E7088" w:rsidP="00183459">
            <w:pPr>
              <w:spacing w:after="0" w:line="240" w:lineRule="auto"/>
              <w:rPr>
                <w:b/>
                <w:sz w:val="20"/>
                <w:szCs w:val="20"/>
              </w:rPr>
            </w:pPr>
            <w:r>
              <w:rPr>
                <w:b/>
                <w:sz w:val="20"/>
                <w:szCs w:val="20"/>
              </w:rPr>
              <w:t>Gertjan Valkman</w:t>
            </w:r>
          </w:p>
        </w:tc>
        <w:tc>
          <w:tcPr>
            <w:tcW w:w="720" w:type="dxa"/>
            <w:shd w:val="clear" w:color="auto" w:fill="auto"/>
          </w:tcPr>
          <w:p w:rsidR="00BE47D4" w:rsidRPr="00667046" w:rsidRDefault="001E7088" w:rsidP="00667046">
            <w:pPr>
              <w:spacing w:after="0" w:line="240" w:lineRule="auto"/>
              <w:jc w:val="center"/>
              <w:rPr>
                <w:b/>
                <w:sz w:val="20"/>
                <w:szCs w:val="20"/>
              </w:rPr>
            </w:pPr>
            <w:r>
              <w:rPr>
                <w:b/>
                <w:sz w:val="20"/>
                <w:szCs w:val="20"/>
              </w:rPr>
              <w:t>69</w:t>
            </w:r>
          </w:p>
        </w:tc>
        <w:tc>
          <w:tcPr>
            <w:tcW w:w="656" w:type="dxa"/>
            <w:shd w:val="clear" w:color="auto" w:fill="auto"/>
          </w:tcPr>
          <w:p w:rsidR="00BE47D4" w:rsidRPr="00667046" w:rsidRDefault="001E7088" w:rsidP="00667046">
            <w:pPr>
              <w:spacing w:after="0" w:line="240" w:lineRule="auto"/>
              <w:jc w:val="center"/>
              <w:rPr>
                <w:b/>
                <w:sz w:val="20"/>
                <w:szCs w:val="20"/>
              </w:rPr>
            </w:pPr>
            <w:r>
              <w:rPr>
                <w:b/>
                <w:sz w:val="20"/>
                <w:szCs w:val="20"/>
              </w:rPr>
              <w:t>45</w:t>
            </w:r>
          </w:p>
        </w:tc>
        <w:tc>
          <w:tcPr>
            <w:tcW w:w="1149" w:type="dxa"/>
            <w:shd w:val="clear" w:color="auto" w:fill="auto"/>
          </w:tcPr>
          <w:p w:rsidR="00BE47D4" w:rsidRPr="00667046" w:rsidRDefault="00125CF2" w:rsidP="00667046">
            <w:pPr>
              <w:spacing w:after="0" w:line="240" w:lineRule="auto"/>
              <w:jc w:val="center"/>
              <w:rPr>
                <w:b/>
                <w:sz w:val="20"/>
                <w:szCs w:val="20"/>
              </w:rPr>
            </w:pPr>
            <w:r>
              <w:rPr>
                <w:b/>
                <w:sz w:val="20"/>
                <w:szCs w:val="20"/>
              </w:rPr>
              <w:t>117</w:t>
            </w:r>
          </w:p>
        </w:tc>
        <w:tc>
          <w:tcPr>
            <w:tcW w:w="1156" w:type="dxa"/>
            <w:shd w:val="clear" w:color="auto" w:fill="auto"/>
          </w:tcPr>
          <w:p w:rsidR="00BE47D4" w:rsidRPr="00667046" w:rsidRDefault="00125CF2" w:rsidP="00667046">
            <w:pPr>
              <w:spacing w:after="0" w:line="240" w:lineRule="auto"/>
              <w:jc w:val="center"/>
              <w:rPr>
                <w:b/>
                <w:sz w:val="20"/>
                <w:szCs w:val="20"/>
              </w:rPr>
            </w:pPr>
            <w:r>
              <w:rPr>
                <w:b/>
                <w:sz w:val="20"/>
                <w:szCs w:val="20"/>
              </w:rPr>
              <w:t>0.385</w:t>
            </w:r>
          </w:p>
        </w:tc>
        <w:tc>
          <w:tcPr>
            <w:tcW w:w="1153" w:type="dxa"/>
            <w:shd w:val="clear" w:color="auto" w:fill="auto"/>
          </w:tcPr>
          <w:p w:rsidR="00BE47D4" w:rsidRPr="00667046" w:rsidRDefault="00125CF2" w:rsidP="00667046">
            <w:pPr>
              <w:spacing w:after="0" w:line="240" w:lineRule="auto"/>
              <w:jc w:val="center"/>
              <w:rPr>
                <w:b/>
                <w:sz w:val="20"/>
                <w:szCs w:val="20"/>
              </w:rPr>
            </w:pPr>
            <w:r>
              <w:rPr>
                <w:b/>
                <w:sz w:val="20"/>
                <w:szCs w:val="20"/>
              </w:rPr>
              <w:t>3</w:t>
            </w:r>
          </w:p>
        </w:tc>
        <w:tc>
          <w:tcPr>
            <w:tcW w:w="1284" w:type="dxa"/>
            <w:shd w:val="clear" w:color="auto" w:fill="auto"/>
          </w:tcPr>
          <w:p w:rsidR="00BE47D4" w:rsidRPr="00667046" w:rsidRDefault="00125CF2" w:rsidP="00667046">
            <w:pPr>
              <w:spacing w:after="0" w:line="240" w:lineRule="auto"/>
              <w:jc w:val="center"/>
              <w:rPr>
                <w:b/>
                <w:sz w:val="20"/>
                <w:szCs w:val="20"/>
              </w:rPr>
            </w:pPr>
            <w:r>
              <w:rPr>
                <w:b/>
                <w:sz w:val="20"/>
                <w:szCs w:val="20"/>
              </w:rPr>
              <w:t>65.22%</w:t>
            </w:r>
          </w:p>
        </w:tc>
      </w:tr>
    </w:tbl>
    <w:p w:rsidR="006C7488" w:rsidRDefault="006C7488" w:rsidP="006C7488"/>
    <w:p w:rsidR="00BE47D4" w:rsidRPr="00BE47D4" w:rsidRDefault="00BE47D4" w:rsidP="00BE47D4">
      <w:pPr>
        <w:pStyle w:val="Heading2"/>
        <w:rPr>
          <w:sz w:val="28"/>
          <w:szCs w:val="28"/>
        </w:rPr>
      </w:pPr>
      <w:r w:rsidRPr="00BE47D4">
        <w:rPr>
          <w:sz w:val="28"/>
          <w:szCs w:val="28"/>
        </w:rPr>
        <w:t>Finale verslag driebanden klein.</w:t>
      </w:r>
    </w:p>
    <w:p w:rsidR="00BE47D4" w:rsidRDefault="00B51BFF" w:rsidP="006C7488">
      <w:pPr>
        <w:rPr>
          <w:b/>
        </w:rPr>
      </w:pPr>
      <w:r>
        <w:rPr>
          <w:b/>
        </w:rPr>
        <w:br/>
      </w:r>
      <w:r w:rsidR="009409B7" w:rsidRPr="00113DB1">
        <w:rPr>
          <w:b/>
        </w:rPr>
        <w:t>Ronde 1</w:t>
      </w:r>
    </w:p>
    <w:p w:rsidR="00AD6212" w:rsidRPr="00AD6212" w:rsidRDefault="00AD6212" w:rsidP="006C7488">
      <w:r w:rsidRPr="00AD6212">
        <w:t xml:space="preserve">Gezien het feit dat alle 4 de spelers voor het eerst in hun carriere de finale van de Stokkersbokaal </w:t>
      </w:r>
      <w:r w:rsidR="007676B5">
        <w:t xml:space="preserve">op de kleine tafel </w:t>
      </w:r>
      <w:r w:rsidRPr="00AD6212">
        <w:t xml:space="preserve">hebben bereikt kunnen we dus stellen dat er sowieso een nieuwe kampioen bijkomt dit jaar, wie dat </w:t>
      </w:r>
      <w:r w:rsidR="00665E2C">
        <w:t xml:space="preserve">gaat worden </w:t>
      </w:r>
      <w:r w:rsidRPr="00AD6212">
        <w:t>zal de komende partijen gaan blijken.</w:t>
      </w:r>
      <w:r w:rsidR="007676B5">
        <w:br/>
        <w:t>Op</w:t>
      </w:r>
      <w:r w:rsidR="00B51BFF">
        <w:t xml:space="preserve"> </w:t>
      </w:r>
      <w:r w:rsidR="007676B5">
        <w:t>tafel 1 dienden Gertjan de Vries en Jan Formanoy hun kunsten te vertonen en op tafel 2 waren Bertus van der Molen en Gertjan (vanaf volgend jaar Gerrit Jan (sorry)) Valkman aan de beurt.</w:t>
      </w:r>
      <w:r w:rsidR="007676B5">
        <w:br/>
        <w:t>Allen hadden blijkbaar enigszins last van start-zenuwen want in den beginne ging e.e.a. nogal moeizaam. Bertus pakte uiteindelijk als eerste de draad</w:t>
      </w:r>
      <w:r w:rsidR="00B51BFF">
        <w:t xml:space="preserve"> weer </w:t>
      </w:r>
      <w:r w:rsidR="007676B5">
        <w:t xml:space="preserve"> op en begon regelmatig te scoren, na 26 beurten was het nog 9 om 8 in zijn voordeel, maar na 45 beurten was hij klaar en won met 27 om 15.</w:t>
      </w:r>
      <w:r w:rsidR="00B51BFF">
        <w:t xml:space="preserve"> </w:t>
      </w:r>
      <w:r w:rsidR="007676B5">
        <w:t xml:space="preserve">Op tafel 1 ging het iets minder voorspoedig, na 35 beurten was de tussenstand 15 om 5 voor </w:t>
      </w:r>
      <w:r w:rsidR="007676B5">
        <w:lastRenderedPageBreak/>
        <w:t>Gertjan de V. en aangezien Jan weinig ‘geluk’ had (de bekende haartjes) werd het na 64 beurten 31 om 10 voor Gertjan, die voorlopig ook de hoogste serie mag noteren namelijk 4.</w:t>
      </w:r>
    </w:p>
    <w:p w:rsidR="00D63C56" w:rsidRPr="002D67BA" w:rsidRDefault="001A2E6C" w:rsidP="006C7488">
      <w:r w:rsidRPr="00113DB1">
        <w:rPr>
          <w:b/>
        </w:rPr>
        <w:t>Ronde 2</w:t>
      </w:r>
      <w:r w:rsidR="001826F6" w:rsidRPr="001826F6">
        <w:br/>
      </w:r>
      <w:r w:rsidR="007676B5">
        <w:t>De winnaars wisselen nu van tafel en Bertus ma</w:t>
      </w:r>
      <w:r w:rsidR="00B51BFF">
        <w:t xml:space="preserve">g nu de degens kruisen met Jan </w:t>
      </w:r>
      <w:r w:rsidR="007676B5">
        <w:t>en op de andere tafel mochten de beide Gertjans aantreden in de arena, kww.</w:t>
      </w:r>
      <w:r w:rsidR="00E84986">
        <w:br/>
        <w:t>Bertus was helemaal los, hij caramboleerde de partij in 30 beurten uit en liet Jan kansloos, die uiteindelijk nog 6 caramboles wist te maken.</w:t>
      </w:r>
      <w:r w:rsidR="00C07C04">
        <w:br/>
        <w:t>Ook Gertjan de V. was in 1x op dreef, sterker nog hij caramboleerde zijn partij uit in 29 beurten, goed voor een moyenne van 1.0</w:t>
      </w:r>
      <w:r w:rsidR="00B51BFF">
        <w:t>69 met een hoogste serie van 6, o</w:t>
      </w:r>
      <w:r w:rsidR="00C07C04">
        <w:t>ok zijn tegenstander was in dit geval kansloos en bleef steken op 10 caramboles.</w:t>
      </w:r>
      <w:r w:rsidR="00C07C04">
        <w:br/>
        <w:t>Dit had allemaal tot gevolg dat we zo een echte finale krijgen tusen Bertus en Gertjan, waarbij Bertus tot nu toe met een algemeen gemiddelde van 0.720 tegenover de 0.667 van Gertjan, volgens het AV-systeem degene was die op de laatst gespeelde tafel mocht blijven staan.</w:t>
      </w:r>
      <w:r w:rsidR="001826F6" w:rsidRPr="001826F6">
        <w:br/>
      </w:r>
    </w:p>
    <w:p w:rsidR="00D30FD2" w:rsidRDefault="007E04A1" w:rsidP="00B75A7F">
      <w:r w:rsidRPr="00113DB1">
        <w:rPr>
          <w:b/>
        </w:rPr>
        <w:t xml:space="preserve">Ronde </w:t>
      </w:r>
      <w:r>
        <w:rPr>
          <w:b/>
        </w:rPr>
        <w:t>3</w:t>
      </w:r>
      <w:r w:rsidR="00A70A88">
        <w:rPr>
          <w:b/>
        </w:rPr>
        <w:br/>
      </w:r>
      <w:r w:rsidR="00C07C04" w:rsidRPr="007214B0">
        <w:t>Goed, de laatste ronde waarin eerst Gertjan Val</w:t>
      </w:r>
      <w:r w:rsidR="007214B0" w:rsidRPr="007214B0">
        <w:t>k</w:t>
      </w:r>
      <w:r w:rsidR="00C07C04" w:rsidRPr="007214B0">
        <w:t>man en Jan Formanoy mochten optreden om te bepalen wie 3</w:t>
      </w:r>
      <w:r w:rsidR="00C07C04" w:rsidRPr="007214B0">
        <w:rPr>
          <w:vertAlign w:val="superscript"/>
        </w:rPr>
        <w:t>de</w:t>
      </w:r>
      <w:r w:rsidR="00C07C04" w:rsidRPr="007214B0">
        <w:t xml:space="preserve"> en wie 4</w:t>
      </w:r>
      <w:r w:rsidR="00C07C04" w:rsidRPr="007214B0">
        <w:rPr>
          <w:vertAlign w:val="superscript"/>
        </w:rPr>
        <w:t>de</w:t>
      </w:r>
      <w:r w:rsidR="00C07C04" w:rsidRPr="007214B0">
        <w:t xml:space="preserve"> zou worden.</w:t>
      </w:r>
      <w:r w:rsidR="00C07C04" w:rsidRPr="007214B0">
        <w:br/>
        <w:t>Een goed kwartier later begint de finale tussen de twee matadoren van het blauwe laken, Bertus en Gertjan om uit te vinden wie de zenuwen het beste in bedwang zal hebben……………..</w:t>
      </w:r>
      <w:r w:rsidR="00C07C04" w:rsidRPr="007214B0">
        <w:br/>
      </w:r>
      <w:r w:rsidR="00E360C2" w:rsidRPr="007214B0">
        <w:t>De strijd tussen Gertjan en Jan lijkt al snel in het voordeel van Gertjan te worden beslist gezien de tussenstand van 14 om 3 in 29 beurten, in het voordeel van Gertjan.</w:t>
      </w:r>
      <w:r w:rsidR="00E360C2" w:rsidRPr="007214B0">
        <w:br/>
        <w:t>inmiddles is de finale gevorderd tot de 25</w:t>
      </w:r>
      <w:r w:rsidR="00E360C2" w:rsidRPr="007214B0">
        <w:rPr>
          <w:vertAlign w:val="superscript"/>
        </w:rPr>
        <w:t>ste</w:t>
      </w:r>
      <w:r w:rsidR="00E360C2" w:rsidRPr="007214B0">
        <w:t xml:space="preserve"> beurt en leid Bertus met 16 om 10, zou dat al de beslissing zijn????</w:t>
      </w:r>
      <w:r w:rsidR="00DA1FE3">
        <w:t xml:space="preserve"> Na 34 beurten is het 16 om 18, nog steeds in het voordeel van Bertus, maar hieruit blijkt wel dat Gertjan zich niet zonder slag of stoot gewonnen zal geven.</w:t>
      </w:r>
      <w:r w:rsidR="00DA1FE3">
        <w:br/>
        <w:t>Ondertussen is de partij tussen Gertjan en Jan in de 37</w:t>
      </w:r>
      <w:r w:rsidR="00DA1FE3" w:rsidRPr="00DA1FE3">
        <w:rPr>
          <w:vertAlign w:val="superscript"/>
        </w:rPr>
        <w:t>ste</w:t>
      </w:r>
      <w:r w:rsidR="00DA1FE3">
        <w:t xml:space="preserve"> gevorderd tot 16 om 8, m.a.w. het kan alle kanten nog op.</w:t>
      </w:r>
      <w:r w:rsidR="00CE3854">
        <w:t xml:space="preserve"> Beurt 36</w:t>
      </w:r>
      <w:r w:rsidR="00DC68F4">
        <w:t>,</w:t>
      </w:r>
      <w:r w:rsidR="00CE3854">
        <w:t xml:space="preserve"> 20 om 21 voor Bertus en Gertjan mist wederom op een haartje…..</w:t>
      </w:r>
      <w:r w:rsidR="00BD2971">
        <w:t>Beurt 38 23 om 21 in het voordeel van Gertjan….On</w:t>
      </w:r>
      <w:r w:rsidR="00DC68F4">
        <w:t>d</w:t>
      </w:r>
      <w:r w:rsidR="00BD2971">
        <w:t>ertussen is het 17 om 10 in 42 op de andere tafel….</w:t>
      </w:r>
      <w:r w:rsidR="00DC68F4">
        <w:br/>
        <w:t>Zal een enigszins fortuinlijke bal (klos) de doorslag geven voor Gertjan in de 44</w:t>
      </w:r>
      <w:r w:rsidR="00DC68F4" w:rsidRPr="00DC68F4">
        <w:rPr>
          <w:vertAlign w:val="superscript"/>
        </w:rPr>
        <w:t>ste</w:t>
      </w:r>
      <w:r w:rsidR="00DC68F4">
        <w:t xml:space="preserve"> beurt waarmee het 25 om 22 wordt voor hem??? Beurt 45 26 om, m.a.w. Bertus moet er nog 3….</w:t>
      </w:r>
      <w:r w:rsidR="00FB760B">
        <w:t xml:space="preserve"> </w:t>
      </w:r>
    </w:p>
    <w:p w:rsidR="00501283" w:rsidRDefault="00FB760B" w:rsidP="00B75A7F">
      <w:r>
        <w:t>Tada op de andre tafel slaat Jan toe en maakt zijn 15</w:t>
      </w:r>
      <w:r w:rsidRPr="00FB760B">
        <w:rPr>
          <w:vertAlign w:val="superscript"/>
        </w:rPr>
        <w:t>de</w:t>
      </w:r>
      <w:r>
        <w:t xml:space="preserve"> carambole in de 43</w:t>
      </w:r>
      <w:r w:rsidRPr="00FB760B">
        <w:rPr>
          <w:vertAlign w:val="superscript"/>
        </w:rPr>
        <w:t>ste</w:t>
      </w:r>
      <w:r>
        <w:t xml:space="preserve"> beurt, Gertjan op 20 achter latend, chapeau.</w:t>
      </w:r>
      <w:r w:rsidR="006930F8">
        <w:br/>
        <w:t>Ondertussen na 50 beurten 27 om 26, dus 5 om 1 te maken…… Dat bleek een te grote opgave voor Gertjan, Bertus caramboleerde de partij na 51 beurten uit en won met 27 om 28.</w:t>
      </w:r>
      <w:r w:rsidR="00DA1FE3">
        <w:br/>
        <w:t xml:space="preserve"> </w:t>
      </w:r>
      <w:r w:rsidR="00A70A88" w:rsidRPr="007214B0">
        <w:br/>
      </w:r>
    </w:p>
    <w:p w:rsidR="00B75A7F" w:rsidRPr="00A70A88" w:rsidRDefault="006930F8" w:rsidP="00B75A7F">
      <w:r>
        <w:t xml:space="preserve">Bertus </w:t>
      </w:r>
      <w:r w:rsidR="00501283">
        <w:t>namens de toernooicommissie van BC S</w:t>
      </w:r>
      <w:r>
        <w:t>tokkers van harte gefeliciteerd, voorwaar geen slechte prestatie en dan druk ik mij zeer zwakjes uit, op een je 78</w:t>
      </w:r>
      <w:r w:rsidRPr="006930F8">
        <w:rPr>
          <w:vertAlign w:val="superscript"/>
        </w:rPr>
        <w:t>ste</w:t>
      </w:r>
      <w:r>
        <w:t xml:space="preserve"> zo’n toernooi winnen dat kunnen alleen de echt groten.</w:t>
      </w:r>
      <w:r w:rsidR="00B75A7F">
        <w:br/>
      </w:r>
    </w:p>
    <w:sectPr w:rsidR="00B75A7F" w:rsidRPr="00A70A88" w:rsidSect="00113DB1">
      <w:pgSz w:w="11906" w:h="16838"/>
      <w:pgMar w:top="851"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0042D4"/>
    <w:rsid w:val="000042D4"/>
    <w:rsid w:val="00007CC4"/>
    <w:rsid w:val="00015898"/>
    <w:rsid w:val="00016C68"/>
    <w:rsid w:val="00026DDF"/>
    <w:rsid w:val="00045A4E"/>
    <w:rsid w:val="0005391B"/>
    <w:rsid w:val="000A5ACA"/>
    <w:rsid w:val="000D22CB"/>
    <w:rsid w:val="00113DB1"/>
    <w:rsid w:val="00121381"/>
    <w:rsid w:val="00125CF2"/>
    <w:rsid w:val="001373FB"/>
    <w:rsid w:val="00154C0A"/>
    <w:rsid w:val="001826F6"/>
    <w:rsid w:val="00183459"/>
    <w:rsid w:val="001A040D"/>
    <w:rsid w:val="001A2E6C"/>
    <w:rsid w:val="001C3413"/>
    <w:rsid w:val="001C34BE"/>
    <w:rsid w:val="001D526D"/>
    <w:rsid w:val="001E7088"/>
    <w:rsid w:val="002A34AB"/>
    <w:rsid w:val="002A6C3A"/>
    <w:rsid w:val="002B0555"/>
    <w:rsid w:val="002B116E"/>
    <w:rsid w:val="002B767E"/>
    <w:rsid w:val="002D67BA"/>
    <w:rsid w:val="003540F2"/>
    <w:rsid w:val="003813BD"/>
    <w:rsid w:val="003B55BE"/>
    <w:rsid w:val="003F75FE"/>
    <w:rsid w:val="00501283"/>
    <w:rsid w:val="00501906"/>
    <w:rsid w:val="005330F7"/>
    <w:rsid w:val="0054702C"/>
    <w:rsid w:val="005A12F6"/>
    <w:rsid w:val="005D0085"/>
    <w:rsid w:val="005E09A7"/>
    <w:rsid w:val="0060204D"/>
    <w:rsid w:val="00621C15"/>
    <w:rsid w:val="00630BF0"/>
    <w:rsid w:val="0063258A"/>
    <w:rsid w:val="00662A7D"/>
    <w:rsid w:val="00665E2C"/>
    <w:rsid w:val="00667046"/>
    <w:rsid w:val="006930F8"/>
    <w:rsid w:val="006A7FD2"/>
    <w:rsid w:val="006C7488"/>
    <w:rsid w:val="007214B0"/>
    <w:rsid w:val="00751894"/>
    <w:rsid w:val="007676B5"/>
    <w:rsid w:val="007B00C5"/>
    <w:rsid w:val="007E04A1"/>
    <w:rsid w:val="007E29CB"/>
    <w:rsid w:val="007F6396"/>
    <w:rsid w:val="008A0147"/>
    <w:rsid w:val="008E4E87"/>
    <w:rsid w:val="00917E14"/>
    <w:rsid w:val="009409B7"/>
    <w:rsid w:val="00951DDB"/>
    <w:rsid w:val="0095207A"/>
    <w:rsid w:val="00991042"/>
    <w:rsid w:val="009A2E25"/>
    <w:rsid w:val="009A5E50"/>
    <w:rsid w:val="009A64EA"/>
    <w:rsid w:val="00A51BE3"/>
    <w:rsid w:val="00A70A88"/>
    <w:rsid w:val="00AC714A"/>
    <w:rsid w:val="00AD6212"/>
    <w:rsid w:val="00B04A0A"/>
    <w:rsid w:val="00B100D5"/>
    <w:rsid w:val="00B51BFF"/>
    <w:rsid w:val="00B6442F"/>
    <w:rsid w:val="00B75A7F"/>
    <w:rsid w:val="00BD2971"/>
    <w:rsid w:val="00BE0B23"/>
    <w:rsid w:val="00BE195B"/>
    <w:rsid w:val="00BE47D4"/>
    <w:rsid w:val="00C07C04"/>
    <w:rsid w:val="00C1278E"/>
    <w:rsid w:val="00C164B8"/>
    <w:rsid w:val="00C41721"/>
    <w:rsid w:val="00C61D33"/>
    <w:rsid w:val="00CB3112"/>
    <w:rsid w:val="00CE3854"/>
    <w:rsid w:val="00D30FD2"/>
    <w:rsid w:val="00D33D22"/>
    <w:rsid w:val="00D63C56"/>
    <w:rsid w:val="00D80331"/>
    <w:rsid w:val="00D86FCA"/>
    <w:rsid w:val="00DA1FE3"/>
    <w:rsid w:val="00DC68F4"/>
    <w:rsid w:val="00E026CF"/>
    <w:rsid w:val="00E03EF5"/>
    <w:rsid w:val="00E360C2"/>
    <w:rsid w:val="00E84986"/>
    <w:rsid w:val="00EE6897"/>
    <w:rsid w:val="00EF59F0"/>
    <w:rsid w:val="00F158FA"/>
    <w:rsid w:val="00F430EE"/>
    <w:rsid w:val="00F5288C"/>
    <w:rsid w:val="00FB76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4"/>
    <w:pPr>
      <w:spacing w:after="200" w:line="276" w:lineRule="auto"/>
    </w:pPr>
    <w:rPr>
      <w:sz w:val="22"/>
      <w:szCs w:val="22"/>
      <w:lang w:eastAsia="en-US"/>
    </w:rPr>
  </w:style>
  <w:style w:type="paragraph" w:styleId="Heading1">
    <w:name w:val="heading 1"/>
    <w:basedOn w:val="Normal"/>
    <w:next w:val="Normal"/>
    <w:link w:val="Heading1Char"/>
    <w:uiPriority w:val="9"/>
    <w:qFormat/>
    <w:rsid w:val="000042D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042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42D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042D4"/>
    <w:rPr>
      <w:rFonts w:ascii="Cambria" w:eastAsia="Times New Roman" w:hAnsi="Cambria" w:cs="Times New Roman"/>
      <w:b/>
      <w:bCs/>
      <w:color w:val="4F81BD"/>
      <w:sz w:val="26"/>
      <w:szCs w:val="26"/>
    </w:rPr>
  </w:style>
  <w:style w:type="table" w:styleId="TableGrid">
    <w:name w:val="Table Grid"/>
    <w:basedOn w:val="TableNormal"/>
    <w:uiPriority w:val="59"/>
    <w:rsid w:val="006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727</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Apollo Vredestein BV</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Panders</cp:lastModifiedBy>
  <cp:revision>19</cp:revision>
  <cp:lastPrinted>2019-07-12T21:15:00Z</cp:lastPrinted>
  <dcterms:created xsi:type="dcterms:W3CDTF">2019-07-12T21:25:00Z</dcterms:created>
  <dcterms:modified xsi:type="dcterms:W3CDTF">2020-08-28T20:59:00Z</dcterms:modified>
</cp:coreProperties>
</file>